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4.xml" ContentType="application/vnd.openxmlformats-officedocument.customXmlProperties+xml"/>
  <Override PartName="/customXml/itemProps2.xml" ContentType="application/vnd.openxmlformats-officedocument.customXmlProperties+xml"/>
  <Override PartName="/customXml/item3.xml" ContentType="application/xml"/>
  <Override PartName="/customXml/item4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GradeColorida-nfase11"/>
        <w:spacing w:lineRule="auto" w:line="360" w:before="120" w:after="0"/>
        <w:jc w:val="center"/>
        <w:rPr>
          <w:rFonts w:ascii="Arial" w:hAnsi="Arial" w:cs="Arial"/>
          <w:b/>
          <w:bCs/>
          <w:i w:val="false"/>
          <w:i w:val="false"/>
          <w:szCs w:val="20"/>
        </w:rPr>
      </w:pPr>
      <w:r>
        <w:rPr>
          <w:rFonts w:cs="Arial" w:ascii="Arial" w:hAnsi="Arial"/>
          <w:b/>
          <w:i w:val="false"/>
          <w:szCs w:val="20"/>
        </w:rPr>
        <w:t>M</w:t>
      </w:r>
      <w:r>
        <w:rPr>
          <w:rFonts w:cs="Arial" w:ascii="Arial" w:hAnsi="Arial"/>
          <w:b/>
          <w:bCs/>
          <w:i w:val="false"/>
          <w:szCs w:val="20"/>
        </w:rPr>
        <w:t>INUTA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  <w:t>ATA DE REGISTRO DE PREÇOS</w:t>
      </w:r>
    </w:p>
    <w:p>
      <w:pPr>
        <w:pStyle w:val="TituloMec"/>
        <w:bidi w:val="0"/>
        <w:spacing w:lineRule="auto" w:line="240" w:before="0" w:after="0"/>
        <w:ind w:hanging="0" w:left="0"/>
        <w:jc w:val="center"/>
        <w:rPr/>
      </w:pPr>
      <w:r>
        <w:rPr>
          <w:rFonts w:cs="Carlito" w:ascii="Calibri" w:hAnsi="Calibri"/>
          <w:sz w:val="22"/>
          <w:szCs w:val="22"/>
        </w:rPr>
        <w:t>MINISTÉRIO DA EDUCAÇÃO</w:t>
      </w:r>
    </w:p>
    <w:p>
      <w:pPr>
        <w:pStyle w:val="TituloCampus"/>
        <w:bidi w:val="0"/>
        <w:spacing w:lineRule="auto" w:line="240" w:before="0" w:after="0"/>
        <w:ind w:hanging="0" w:left="0"/>
        <w:jc w:val="center"/>
        <w:rPr/>
      </w:pPr>
      <w:r>
        <w:rPr>
          <w:rFonts w:cs="Carlito" w:ascii="Calibri" w:hAnsi="Calibri"/>
          <w:sz w:val="22"/>
          <w:szCs w:val="22"/>
        </w:rPr>
        <w:t>INSTITUTO FEDERAL DO ESPÍRITO SANTO</w:t>
      </w:r>
    </w:p>
    <w:p>
      <w:pPr>
        <w:pStyle w:val="Titulocampus1"/>
        <w:bidi w:val="0"/>
        <w:spacing w:lineRule="auto" w:line="240" w:before="0" w:after="0"/>
        <w:ind w:hanging="0" w:left="0"/>
        <w:jc w:val="center"/>
        <w:rPr/>
      </w:pPr>
      <w:r>
        <w:rPr>
          <w:rFonts w:cs="Carlito" w:ascii="Calibri" w:hAnsi="Calibri"/>
          <w:sz w:val="22"/>
          <w:szCs w:val="22"/>
        </w:rPr>
        <w:t>CAMPUS VITÓRIA</w:t>
      </w:r>
    </w:p>
    <w:p>
      <w:pPr>
        <w:pStyle w:val="Tituloendereco"/>
        <w:bidi w:val="0"/>
        <w:spacing w:lineRule="auto" w:line="240" w:before="0" w:after="0"/>
        <w:ind w:hanging="0" w:left="0"/>
        <w:jc w:val="center"/>
        <w:rPr/>
      </w:pPr>
      <w:r>
        <w:rPr>
          <w:rFonts w:cs="Carlito" w:ascii="Calibri" w:hAnsi="Calibri"/>
          <w:sz w:val="22"/>
          <w:szCs w:val="22"/>
        </w:rPr>
        <w:t>Avenida Vitória, 1729 – Jucutuquara – 29040-780 – Vitória – ES</w:t>
      </w:r>
    </w:p>
    <w:p>
      <w:pPr>
        <w:pStyle w:val="Titulotelefone"/>
        <w:widowControl w:val="false"/>
        <w:bidi w:val="0"/>
        <w:spacing w:lineRule="auto" w:line="240" w:before="0" w:after="0"/>
        <w:ind w:hanging="0" w:left="0"/>
        <w:jc w:val="center"/>
        <w:rPr>
          <w:rFonts w:ascii="Arial" w:hAnsi="Arial" w:cs="Arial"/>
          <w:b/>
          <w:bCs/>
          <w:i/>
          <w:i/>
          <w:color w:val="FF0000"/>
          <w:sz w:val="20"/>
          <w:szCs w:val="20"/>
        </w:rPr>
      </w:pPr>
      <w:bookmarkStart w:id="0" w:name="__DdeLink__4979_1657706414"/>
      <w:bookmarkEnd w:id="0"/>
      <w:r>
        <w:rPr>
          <w:rFonts w:eastAsia="Times New Roman" w:cs="Carlito" w:ascii="Calibri" w:hAnsi="Calibri"/>
          <w:b/>
          <w:bCs/>
          <w:i/>
          <w:color w:val="000000"/>
          <w:sz w:val="22"/>
          <w:szCs w:val="22"/>
        </w:rPr>
        <w:t>27 3331-2131</w:t>
      </w:r>
    </w:p>
    <w:p>
      <w:pPr>
        <w:pStyle w:val="Titulotelefone"/>
        <w:widowControl w:val="false"/>
        <w:bidi w:val="0"/>
        <w:spacing w:lineRule="auto" w:line="240" w:before="0" w:after="0"/>
        <w:ind w:hanging="0" w:left="0"/>
        <w:jc w:val="center"/>
        <w:rPr>
          <w:rFonts w:ascii="Arial" w:hAnsi="Arial" w:cs="Arial"/>
          <w:b/>
          <w:bCs/>
          <w:i/>
          <w:i/>
          <w:color w:val="FF0000"/>
          <w:sz w:val="20"/>
          <w:szCs w:val="20"/>
        </w:rPr>
      </w:pPr>
      <w:r>
        <w:rPr>
          <w:rFonts w:cs="Arial"/>
          <w:b/>
          <w:bCs/>
          <w:i/>
          <w:color w:val="FF0000"/>
          <w:sz w:val="20"/>
          <w:szCs w:val="20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ATA DE REGISTRO DE PREÇOS </w:t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>N.º .........</w:t>
      </w:r>
    </w:p>
    <w:p>
      <w:pPr>
        <w:pStyle w:val="Normal"/>
        <w:widowControl w:val="false"/>
        <w:spacing w:lineRule="auto" w:line="360"/>
        <w:ind w:hanging="0" w:right="-3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firstLine="1418" w:right="-28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 c</w:t>
      </w:r>
      <w:r>
        <w:rPr>
          <w:rFonts w:cs="Arial" w:ascii="Arial" w:hAnsi="Arial"/>
          <w:color w:val="000000"/>
          <w:sz w:val="20"/>
          <w:szCs w:val="20"/>
        </w:rPr>
        <w:t>ampus Vitória do Instituto Federal do Espírito Santo, CNPJ nº 10.838.653/0002-89, UASG 158416</w:t>
      </w:r>
      <w:r>
        <w:rPr>
          <w:rFonts w:cs="Arial" w:ascii="Arial" w:hAnsi="Arial"/>
          <w:sz w:val="20"/>
          <w:szCs w:val="20"/>
        </w:rPr>
        <w:t xml:space="preserve">, com sede na </w:t>
      </w:r>
      <w:r>
        <w:rPr>
          <w:rFonts w:cs="Arial" w:ascii="Arial" w:hAnsi="Arial"/>
          <w:color w:val="000000"/>
          <w:sz w:val="20"/>
          <w:szCs w:val="20"/>
        </w:rPr>
        <w:t>Av. Vitória, 1729, Bairro Jucutuquara, Vitória/ES , CEP 29040-780</w:t>
      </w:r>
      <w:r>
        <w:rPr>
          <w:rFonts w:cs="Arial" w:ascii="Arial" w:hAnsi="Arial"/>
          <w:sz w:val="20"/>
          <w:szCs w:val="20"/>
        </w:rPr>
        <w:t xml:space="preserve">,  neste ato representado(a) pelo </w:t>
      </w:r>
      <w:r>
        <w:rPr>
          <w:rFonts w:cs="Carlito" w:ascii="Carlito" w:hAnsi="Carlito"/>
          <w:sz w:val="22"/>
          <w:szCs w:val="22"/>
        </w:rPr>
        <w:t>Sr. Hudson Luiz Côgo, brasileiro, casado, nomeado pela Portaria nº 3.285 de 22 de novembro de 2017, publicada no DOU 23 de novembro de 2017, inscrito(a) no CPF sob o nº 623.221.507-97 portador da Carteira de Identidade nº 486.216 SSP/ES</w:t>
      </w:r>
      <w:r>
        <w:rPr>
          <w:rFonts w:cs="Arial" w:ascii="Arial" w:hAnsi="Arial"/>
          <w:sz w:val="20"/>
          <w:szCs w:val="20"/>
        </w:rPr>
        <w:t xml:space="preserve">, considerando o julgamento da licitação na modalidade de pregão, na forma eletrônica, para REGISTRO DE PREÇOS </w:t>
      </w:r>
      <w:r>
        <w:rPr>
          <w:rFonts w:cs="Arial" w:ascii="Arial" w:hAnsi="Arial"/>
          <w:sz w:val="20"/>
          <w:szCs w:val="20"/>
          <w:shd w:fill="FFFF00" w:val="clear"/>
        </w:rPr>
        <w:t>nº 90001/2024, publicada no ...... de ...../...../202.....</w:t>
      </w:r>
      <w:r>
        <w:rPr>
          <w:rFonts w:cs="Arial" w:ascii="Arial" w:hAnsi="Arial"/>
          <w:sz w:val="20"/>
          <w:szCs w:val="20"/>
        </w:rPr>
        <w:t xml:space="preserve">, processo administrativo n.º </w:t>
      </w:r>
      <w:r>
        <w:rPr>
          <w:rFonts w:cs="Arial" w:ascii="Arial" w:hAnsi="Arial"/>
          <w:bCs/>
          <w:color w:val="000000"/>
          <w:sz w:val="20"/>
          <w:szCs w:val="20"/>
        </w:rPr>
        <w:t>23148.006080/2023-32</w:t>
      </w:r>
      <w:r>
        <w:rPr>
          <w:rFonts w:cs="Arial" w:ascii="Arial" w:hAnsi="Arial"/>
          <w:sz w:val="20"/>
          <w:szCs w:val="20"/>
        </w:rPr>
        <w:t xml:space="preserve">, RESOLVE registrar os preços da(s)  empresa(s) indicada(s) e qualificada(s) nesta ATA, de acordo com a classificação por ela(s) alcançada(s) e na(s)  quantidade(s)  cotada(s), atendendo as condições previstas no </w:t>
      </w:r>
      <w:r>
        <w:rPr>
          <w:rFonts w:cs="Arial" w:ascii="Arial" w:hAnsi="Arial"/>
          <w:color w:val="FF0000"/>
          <w:sz w:val="20"/>
          <w:szCs w:val="20"/>
        </w:rPr>
        <w:t>Edital de licitação</w:t>
      </w:r>
      <w:r>
        <w:rPr>
          <w:rFonts w:cs="Arial" w:ascii="Arial" w:hAnsi="Arial"/>
          <w:sz w:val="20"/>
          <w:szCs w:val="20"/>
        </w:rPr>
        <w:t>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DO OBJETO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A presente Ata tem por objeto o registro de preços para a eventual aquisição de </w:t>
      </w:r>
      <w:r>
        <w:rPr>
          <w:shd w:fill="FFFF00" w:val="clear"/>
        </w:rPr>
        <w:t>Materiais para os Laboratórios de Soldagem</w:t>
      </w:r>
      <w:r>
        <w:rPr/>
        <w:t xml:space="preserve"> conforme especificado(s) no(s) item(ns) do Termo de Referência, anexo I </w:t>
      </w:r>
      <w:r>
        <w:rPr>
          <w:i/>
          <w:color w:val="FF0000"/>
        </w:rPr>
        <w:t>do edital de Licitação nº 90001/2024.</w:t>
      </w:r>
      <w:r>
        <w:rPr/>
        <w:t>,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DOS PREÇOS, ESPECIFICAÇÕES E QUANTITATIVOS</w:t>
      </w:r>
    </w:p>
    <w:p>
      <w:pPr>
        <w:pStyle w:val="Nivel2"/>
        <w:numPr>
          <w:ilvl w:val="1"/>
          <w:numId w:val="1"/>
        </w:numPr>
        <w:ind w:hanging="0" w:left="0"/>
        <w:rPr/>
      </w:pPr>
      <w:commentRangeStart w:id="0"/>
      <w:r>
        <w:rPr/>
        <w:t>O preço registrado</w:t>
      </w:r>
      <w:r>
        <w:rPr/>
      </w:r>
      <w:commentRangeEnd w:id="0"/>
      <w:r>
        <w:commentReference w:id="0"/>
      </w:r>
      <w:r>
        <w:rPr/>
        <w:t xml:space="preserve">, as especificações do objeto, </w:t>
      </w:r>
      <w:commentRangeStart w:id="1"/>
      <w:r>
        <w:rPr/>
        <w:t>as quantidades mínimas e máximas de cada item</w:t>
      </w:r>
      <w:r>
        <w:rPr/>
      </w:r>
      <w:commentRangeEnd w:id="1"/>
      <w:r>
        <w:commentReference w:id="1"/>
      </w:r>
      <w:r>
        <w:rPr/>
        <w:t xml:space="preserve">, fornecedor(es) e as demais condições ofertadas na(s) proposta(s) são as que seguem: </w:t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sz w:val="20"/>
          <w:szCs w:val="20"/>
          <w:lang w:eastAsia="en-US"/>
        </w:rPr>
      </w:pPr>
      <w:r>
        <w:rPr>
          <w:rFonts w:cs="Arial" w:ascii="Arial" w:hAnsi="Arial"/>
          <w:sz w:val="20"/>
          <w:szCs w:val="20"/>
          <w:lang w:eastAsia="en-US"/>
        </w:rPr>
      </w:r>
    </w:p>
    <w:p>
      <w:pPr>
        <w:pStyle w:val="Nivel2"/>
        <w:numPr>
          <w:ilvl w:val="1"/>
          <w:numId w:val="1"/>
        </w:numPr>
        <w:ind w:hanging="0" w:left="0"/>
        <w:rPr>
          <w:lang w:eastAsia="en-US"/>
        </w:rPr>
      </w:pPr>
      <w:commentRangeStart w:id="2"/>
      <w:r>
        <w:rPr>
          <w:lang w:eastAsia="en-US"/>
        </w:rPr>
        <w:t>A listagem do cadastro de reserva referente ao presente registro de preços consta como anexo a esta Ata.</w:t>
      </w:r>
      <w:commentRangeEnd w:id="2"/>
      <w:r>
        <w:commentReference w:id="2"/>
      </w:r>
      <w:r>
        <w:rPr>
          <w:lang w:eastAsia="en-US"/>
        </w:rPr>
      </w:r>
    </w:p>
    <w:p>
      <w:pPr>
        <w:pStyle w:val="Nivel01"/>
        <w:numPr>
          <w:ilvl w:val="0"/>
          <w:numId w:val="1"/>
        </w:numPr>
        <w:ind w:hanging="0" w:left="0"/>
        <w:rPr/>
      </w:pPr>
      <w:commentRangeStart w:id="3"/>
      <w:commentRangeStart w:id="4"/>
      <w:r>
        <w:rPr/>
        <w:t>ÓRGÃO(S) GERENCIADOR E  PARTICIPANTE(S)</w:t>
      </w:r>
      <w:r>
        <w:rPr/>
      </w:r>
      <w:commentRangeEnd w:id="4"/>
      <w:r>
        <w:commentReference w:id="4"/>
      </w:r>
      <w:commentRangeEnd w:id="3"/>
      <w:r>
        <w:commentReference w:id="3"/>
      </w:r>
      <w:r>
        <w:rPr/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>
          <w:rFonts w:ascii="Calibri" w:hAnsi="Calibri"/>
        </w:rPr>
        <w:t xml:space="preserve"> </w:t>
      </w:r>
      <w:r>
        <w:rPr>
          <w:b w:val="false"/>
          <w:i w:val="false"/>
          <w:color w:val="000000"/>
          <w:sz w:val="20"/>
          <w:szCs w:val="20"/>
        </w:rPr>
        <w:t xml:space="preserve">O órgão gerenciador é o </w:t>
      </w:r>
      <w:r>
        <w:rPr>
          <w:sz w:val="20"/>
          <w:szCs w:val="20"/>
        </w:rPr>
        <w:t>Instituto Federal de Educação, Ciência e Tecnologia do Espírito Santo - Campus Vitória, UASG 158416.</w:t>
      </w:r>
    </w:p>
    <w:p>
      <w:pPr>
        <w:pStyle w:val="Nvel2-Red"/>
        <w:numPr>
          <w:ilvl w:val="1"/>
          <w:numId w:val="1"/>
        </w:numPr>
        <w:ind w:hanging="0" w:left="0"/>
        <w:rPr/>
      </w:pPr>
      <w:r>
        <w:rPr/>
        <w:t>São órgãos e entidades públicas participantes do registro de preços:</w:t>
      </w:r>
    </w:p>
    <w:tbl>
      <w:tblPr>
        <w:tblW w:w="897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2244"/>
        <w:gridCol w:w="2244"/>
        <w:gridCol w:w="2245"/>
        <w:gridCol w:w="2244"/>
      </w:tblGrid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hanging="0" w:left="360"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hanging="0" w:left="360"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hanging="0" w:left="360"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hanging="0" w:left="360"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hanging="0" w:left="360"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hanging="0" w:left="360"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hanging="0" w:left="360"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hanging="0" w:left="360"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hanging="0" w:left="360"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hanging="0" w:left="360"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hanging="0" w:left="360"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hanging="0" w:left="360"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hanging="0" w:left="360"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hanging="0" w:left="360"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hanging="0" w:left="360"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hanging="0" w:left="360"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</w:tr>
    </w:tbl>
    <w:p>
      <w:pPr>
        <w:pStyle w:val="Nivel01"/>
        <w:numPr>
          <w:ilvl w:val="0"/>
          <w:numId w:val="0"/>
        </w:numPr>
        <w:ind w:hanging="0" w:left="0"/>
        <w:rPr>
          <w:i/>
          <w:i/>
          <w:color w:val="FF0000"/>
        </w:rPr>
      </w:pPr>
      <w:r>
        <w:rPr/>
      </w:r>
    </w:p>
    <w:p>
      <w:pPr>
        <w:pStyle w:val="Nivel01"/>
        <w:numPr>
          <w:ilvl w:val="0"/>
          <w:numId w:val="1"/>
        </w:numPr>
        <w:ind w:hanging="0" w:left="0"/>
        <w:rPr>
          <w:i/>
          <w:i/>
          <w:color w:val="FF0000"/>
        </w:rPr>
      </w:pPr>
      <w:r>
        <w:rPr/>
        <w:t>DA ADESÃO À ATA DE REGISTRO DE PREÇOS</w:t>
      </w:r>
    </w:p>
    <w:p>
      <w:pPr>
        <w:pStyle w:val="Nvel2-Red"/>
        <w:numPr>
          <w:ilvl w:val="1"/>
          <w:numId w:val="1"/>
        </w:numPr>
        <w:ind w:hanging="0" w:left="0"/>
        <w:rPr>
          <w:color w:val="000000"/>
        </w:rPr>
      </w:pPr>
      <w:r>
        <w:rPr>
          <w:i w:val="false"/>
          <w:iCs w:val="false"/>
          <w:color w:val="000000"/>
        </w:rPr>
        <w:t>Não será admitida a adesão à ata de registro de preços decorrente desta licitação.</w:t>
      </w:r>
      <w:r>
        <w:rPr>
          <w:color w:val="000000"/>
        </w:rPr>
        <w:t xml:space="preserve"> </w:t>
      </w:r>
    </w:p>
    <w:p>
      <w:pPr>
        <w:pStyle w:val="SubTitNN"/>
        <w:rPr/>
      </w:pPr>
      <w:r>
        <w:rPr/>
        <w:t>Vedação a acréscimo de quantitativos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É vedado efetuar acréscimos nos quantitativos fixados na ata de registro de preços.</w:t>
      </w:r>
    </w:p>
    <w:p>
      <w:pPr>
        <w:pStyle w:val="Nivel2"/>
        <w:numPr>
          <w:ilvl w:val="0"/>
          <w:numId w:val="0"/>
        </w:numPr>
        <w:ind w:hanging="0" w:left="0"/>
        <w:rPr/>
      </w:pPr>
      <w:r>
        <w:rPr/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hanging="0" w:left="0"/>
        <w:rPr>
          <w:iCs/>
        </w:rPr>
      </w:pPr>
      <w:r>
        <w:rPr/>
        <w:t xml:space="preserve">A validade da Ata de Registro de Preços será de 1 (um) ano, contado a </w:t>
      </w:r>
      <w:commentRangeStart w:id="5"/>
      <w:r>
        <w:rPr/>
        <w:t>partir</w:t>
      </w:r>
      <w:r>
        <w:rPr/>
      </w:r>
      <w:commentRangeEnd w:id="5"/>
      <w:r>
        <w:commentReference w:id="5"/>
      </w:r>
      <w:r>
        <w:rPr/>
        <w:t xml:space="preserve"> do primeiro dia útil subsequente à data de divulgação no PNCP, </w:t>
      </w:r>
      <w:r>
        <w:rPr>
          <w:color w:val="000000"/>
        </w:rPr>
        <w:t>podendo ser prorrogada por igual período, mediante a anuência do fornecedor, desde que comprovado o preço vantajoso.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 contratação com os fornecedores registrados na ata será formalizada pelo órgão ou pela en</w:t>
      </w:r>
      <w:r>
        <w:rPr>
          <w:rFonts w:eastAsia="Arial"/>
        </w:rPr>
        <w:t>ti</w:t>
      </w:r>
      <w:r>
        <w:rPr/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 </w:t>
      </w:r>
      <w:r>
        <w:rPr/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Serão registrados na ata os preços e os quantita</w:t>
      </w:r>
      <w:r>
        <w:rPr>
          <w:rFonts w:eastAsia="Arial"/>
        </w:rPr>
        <w:t>ti</w:t>
      </w:r>
      <w:r>
        <w:rPr/>
        <w:t xml:space="preserve">vos do adjudicatário, devendo ser observada a possibilidade de o licitante oferecer ou não proposta em quantitativo inferior ao máximo previsto </w:t>
      </w:r>
      <w:r>
        <w:rPr>
          <w:i/>
          <w:iCs/>
          <w:color w:val="000000"/>
        </w:rPr>
        <w:t>no edital</w:t>
      </w:r>
      <w:r>
        <w:rPr>
          <w:i/>
          <w:iCs/>
          <w:color w:val="FF0000"/>
        </w:rPr>
        <w:t xml:space="preserve"> </w:t>
      </w:r>
      <w:r>
        <w:rPr/>
        <w:t>e se obrigar nos limites dela;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 xml:space="preserve">Mantiverem sua proposta original. </w:t>
      </w:r>
      <w:bookmarkStart w:id="1" w:name="cadastro_reserva"/>
      <w:bookmarkEnd w:id="1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registro a que se refere o item 5.4.2</w:t>
      </w:r>
      <w:r>
        <w:rPr>
          <w:b/>
          <w:bCs/>
        </w:rPr>
        <w:t xml:space="preserve"> </w:t>
      </w:r>
      <w:r>
        <w:rPr/>
        <w:t>tem por obje</w:t>
      </w:r>
      <w:r>
        <w:rPr>
          <w:rFonts w:eastAsia="Arial"/>
        </w:rPr>
        <w:t>ti</w:t>
      </w:r>
      <w:r>
        <w:rPr/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A habilitação dos licitantes que comporão o cadastro de reserva a que se refere o item </w:t>
      </w:r>
      <w:r>
        <w:rPr/>
        <w:fldChar w:fldCharType="begin"/>
      </w:r>
      <w:r>
        <w:rPr/>
        <w:instrText xml:space="preserve"> REF cadastro_reserva \r \h </w:instrText>
      </w:r>
      <w:r>
        <w:rPr/>
        <w:fldChar w:fldCharType="separate"/>
      </w:r>
      <w:r>
        <w:rPr/>
        <w:t>22.4.2.2</w:t>
      </w:r>
      <w:r>
        <w:rPr/>
        <w:fldChar w:fldCharType="end"/>
      </w:r>
      <w:r>
        <w:rPr/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Quando o licitante vencedor não assinar a ata de registro de preços, no prazo e nas condições estabeleci</w:t>
      </w:r>
      <w:r>
        <w:rPr>
          <w:color w:val="000000"/>
        </w:rPr>
        <w:t xml:space="preserve">dos </w:t>
      </w:r>
      <w:r>
        <w:rPr>
          <w:i/>
          <w:iCs/>
          <w:color w:val="000000"/>
        </w:rPr>
        <w:t>no edital;</w:t>
      </w:r>
      <w:r>
        <w:rPr>
          <w:color w:val="000000"/>
        </w:rPr>
        <w:t xml:space="preserve"> e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Quando houver o cancelamento do registro do licitante ou do registro de preços nas hipóteses previstas no item </w:t>
      </w:r>
      <w:r>
        <w:rPr/>
        <w:fldChar w:fldCharType="begin"/>
      </w:r>
      <w:r>
        <w:rPr/>
        <w:instrText xml:space="preserve"> REF cancelamento \r \h </w:instrText>
      </w:r>
      <w:r>
        <w:rPr/>
        <w:fldChar w:fldCharType="separate"/>
      </w:r>
      <w:r>
        <w:rPr/>
        <w:t>26</w:t>
      </w:r>
      <w:r>
        <w:rPr/>
        <w:fldChar w:fldCharType="end"/>
      </w:r>
      <w:r>
        <w:rPr/>
        <w:t>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Quando o convocado não assinar a ata de registro de preços no prazo e nas condições estabelecidos no edital ou no aviso de contratação, e observado o disposto no item 5.4.1,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nenhum dos licitantes que trata o item 5.4.2.1, aceitar a contratação nos termos do item anterior, a Administração, observados o valor es</w:t>
      </w:r>
      <w:r>
        <w:rPr>
          <w:rFonts w:eastAsia="Arial"/>
        </w:rPr>
        <w:t>ti</w:t>
      </w:r>
      <w:r>
        <w:rPr/>
        <w:t>mado e sua eventual atualização nos termos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>do edital</w:t>
      </w:r>
      <w:r>
        <w:rPr>
          <w:color w:val="000000"/>
        </w:rPr>
        <w:t>, po</w:t>
      </w:r>
      <w:r>
        <w:rPr/>
        <w:t>derá: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ALTERAÇÃO OU ATUALIZAÇÃO DOS PREÇOS REGISTRADOS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Os preços registrados poderão ser alterados ou atualizados em decorrência de eventual redução dos preços pra</w:t>
      </w:r>
      <w:r>
        <w:rPr>
          <w:rFonts w:eastAsia="Calibri"/>
        </w:rPr>
        <w:t>ti</w:t>
      </w:r>
      <w:r>
        <w:rPr/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Em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color w:val="0000EF"/>
        </w:rPr>
        <w:t>alínea “d” do inciso II do caput do art. 124 da Lei nº 14.133, de 2021;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Em caso de criação, alteração ou ex</w:t>
      </w:r>
      <w:r>
        <w:rPr>
          <w:rFonts w:eastAsia="Calibri"/>
        </w:rPr>
        <w:t>ti</w:t>
      </w:r>
      <w:r>
        <w:rPr/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NEGOCIAÇÃO DE PREÇOS REGISTRADOS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o preço registrado tornar-se superior ao preço pra</w:t>
      </w:r>
      <w:r>
        <w:rPr>
          <w:rFonts w:eastAsia="Calibri"/>
        </w:rPr>
        <w:t>ti</w:t>
      </w:r>
      <w:r>
        <w:rPr/>
        <w:t>cado no mercado por mo</w:t>
      </w:r>
      <w:r>
        <w:rPr>
          <w:rFonts w:eastAsia="Calibri"/>
        </w:rPr>
        <w:t>ti</w:t>
      </w:r>
      <w:r>
        <w:rPr/>
        <w:t>vo superveniente, o órgão ou en</w:t>
      </w:r>
      <w:r>
        <w:rPr>
          <w:rFonts w:eastAsia="Calibri"/>
        </w:rPr>
        <w:t>ti</w:t>
      </w:r>
      <w:r>
        <w:rPr/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Caso não aceite reduzir seu preço aos valores pra</w:t>
      </w:r>
      <w:r>
        <w:rPr>
          <w:rFonts w:eastAsia="Calibri"/>
        </w:rPr>
        <w:t>ti</w:t>
      </w:r>
      <w:r>
        <w:rPr/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 não obtiver êxito nas negociações, o órgão ou en</w:t>
      </w:r>
      <w:r>
        <w:rPr>
          <w:rFonts w:eastAsia="Calibri"/>
        </w:rPr>
        <w:t>tid</w:t>
      </w:r>
      <w:r>
        <w:rPr/>
        <w:t>ade gerenciadora procederá ao cancelamento da ata de registro de preços, adotando as medidas cabíveis para obtenção de contratação mais vantajosa.</w:t>
      </w:r>
      <w:bookmarkStart w:id="2" w:name="reducao_preco_mercado_negociacao_frustra"/>
      <w:bookmarkEnd w:id="2"/>
    </w:p>
    <w:p>
      <w:pPr>
        <w:pStyle w:val="Nvel3"/>
        <w:numPr>
          <w:ilvl w:val="2"/>
          <w:numId w:val="1"/>
        </w:numPr>
        <w:ind w:hanging="0" w:left="284"/>
        <w:rPr/>
      </w:pPr>
      <w:r>
        <w:rPr>
          <w:rFonts w:cs="Calibri" w:ascii="Calibri" w:hAnsi="Calibri"/>
        </w:rPr>
        <w:t>Na hipótese de</w:t>
      </w:r>
      <w:r>
        <w:rPr/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3" w:name="hipotese_preco_mercado_maior"/>
      <w:bookmarkEnd w:id="3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4" w:name="prova_preco_mercado_maior"/>
      <w:bookmarkEnd w:id="4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Não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rPr/>
        <w:t xml:space="preserve">dade gerenciadora e o fornecedor deverá cumprir as obrigações estabelecidas na ata, sob pena de cancelamento do seu registro, nos termos do item </w:t>
      </w:r>
      <w:r>
        <w:rPr/>
        <w:fldChar w:fldCharType="begin"/>
      </w:r>
      <w:r>
        <w:rPr/>
        <w:instrText xml:space="preserve"> REF cancelamento_do_fornecedor \r \h </w:instrText>
      </w:r>
      <w:r>
        <w:rPr/>
        <w:fldChar w:fldCharType="separate"/>
      </w:r>
      <w:r>
        <w:rPr/>
        <w:t>26.1</w:t>
      </w:r>
      <w:r>
        <w:rPr/>
        <w:fldChar w:fldCharType="end"/>
      </w:r>
      <w:r>
        <w:rPr/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Se não obtiver êxito nas negociações, o órgão ou entidade gerenciadora procederá ao cancelamento da ata de registro de preços, nos termos do item </w:t>
      </w:r>
      <w:r>
        <w:rPr/>
        <w:fldChar w:fldCharType="begin"/>
      </w:r>
      <w:r>
        <w:rPr/>
        <w:instrText xml:space="preserve"> REF cancelamento_da_ata \r \h </w:instrText>
      </w:r>
      <w:r>
        <w:rPr/>
        <w:fldChar w:fldCharType="separate"/>
      </w:r>
      <w:r>
        <w:rPr/>
        <w:t>26.4</w:t>
      </w:r>
      <w:r>
        <w:rPr/>
        <w:fldChar w:fldCharType="end"/>
      </w:r>
      <w:r>
        <w:rPr/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Na hipótese de comprovação da majoração do preço de mercado que inviabilize o preço registrado, conforme previsto no item </w:t>
      </w:r>
      <w:r>
        <w:rPr/>
        <w:fldChar w:fldCharType="begin"/>
      </w:r>
      <w:r>
        <w:rPr/>
        <w:instrText xml:space="preserve"> REF hipotese_preco_mercado_maior \r \h </w:instrText>
      </w:r>
      <w:r>
        <w:rPr/>
        <w:fldChar w:fldCharType="separate"/>
      </w:r>
      <w:r>
        <w:rPr/>
        <w:t>24.2</w:t>
      </w:r>
      <w:r>
        <w:rPr/>
        <w:fldChar w:fldCharType="end"/>
      </w:r>
      <w:r>
        <w:rPr/>
        <w:t xml:space="preserve"> e no item </w:t>
      </w:r>
      <w:r>
        <w:rPr/>
        <w:fldChar w:fldCharType="begin"/>
      </w:r>
      <w:r>
        <w:rPr/>
        <w:instrText xml:space="preserve"> REF prova_preco_mercado_maior \r \h </w:instrText>
      </w:r>
      <w:r>
        <w:rPr/>
        <w:fldChar w:fldCharType="separate"/>
      </w:r>
      <w:r>
        <w:rPr/>
        <w:t>24.2.1</w:t>
      </w:r>
      <w:r>
        <w:rPr/>
        <w:fldChar w:fldCharType="end"/>
      </w:r>
      <w:r>
        <w:rPr/>
        <w:t>, o órgão ou en</w:t>
      </w:r>
      <w:r>
        <w:rPr>
          <w:rFonts w:eastAsia="Calibri"/>
        </w:rPr>
        <w:t>ti</w:t>
      </w:r>
      <w:r>
        <w:rPr/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 </w:t>
      </w:r>
      <w:r>
        <w:rPr/>
        <w:t>O órgão ou en</w:t>
      </w:r>
      <w:r>
        <w:rPr>
          <w:rFonts w:eastAsia="Calibri"/>
        </w:rPr>
        <w:t>ti</w:t>
      </w:r>
      <w:r>
        <w:rPr/>
        <w:t>dade gerenciadora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sobre a efe</w:t>
      </w:r>
      <w:r>
        <w:rPr>
          <w:rFonts w:eastAsia="Calibri"/>
        </w:rPr>
        <w:t>ti</w:t>
      </w:r>
      <w:r>
        <w:rPr/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hanging="0" w:left="0"/>
        <w:rPr/>
      </w:pPr>
      <w:commentRangeStart w:id="6"/>
      <w:r>
        <w:rPr/>
        <w:t>REMANEJAMENTO DAS QUANTIDADES REGISTRADAS NA ATA DE REGISTRO DE PREÇOS</w:t>
      </w:r>
      <w:commentRangeEnd w:id="6"/>
      <w:r>
        <w:commentReference w:id="6"/>
      </w:r>
      <w:r>
        <w:rPr/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 </w:t>
      </w:r>
      <w:r>
        <w:rPr/>
        <w:t>As quan</w:t>
      </w:r>
      <w:r>
        <w:rPr>
          <w:rFonts w:eastAsia="Arial"/>
        </w:rPr>
        <w:t>ti</w:t>
      </w:r>
      <w:r>
        <w:rPr/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rPr/>
        <w:t>dade gerenciadora entre os órgãos ou as en</w:t>
      </w:r>
      <w:r>
        <w:rPr>
          <w:rFonts w:eastAsia="Arial"/>
        </w:rPr>
        <w:t>ti</w:t>
      </w:r>
      <w:r>
        <w:rPr/>
        <w:t>dades par</w:t>
      </w:r>
      <w:r>
        <w:rPr>
          <w:rFonts w:eastAsia="Arial"/>
        </w:rPr>
        <w:t>ti</w:t>
      </w:r>
      <w:r>
        <w:rPr/>
        <w:t>cipantes e não par</w:t>
      </w:r>
      <w:r>
        <w:rPr>
          <w:rFonts w:eastAsia="Arial"/>
        </w:rPr>
        <w:t>ti</w:t>
      </w:r>
      <w:r>
        <w:rPr/>
        <w:t>cipantes do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 </w:t>
      </w:r>
      <w:r>
        <w:rPr/>
        <w:t>O remanejamento somente poderá ser feito: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entidade não participante.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órgão ou en</w:t>
      </w:r>
      <w:r>
        <w:rPr>
          <w:rFonts w:eastAsia="Arial"/>
        </w:rPr>
        <w:t>ti</w:t>
      </w:r>
      <w:r>
        <w:rPr/>
        <w:t>dade gerenciadora que tiver es</w:t>
      </w:r>
      <w:r>
        <w:rPr>
          <w:rFonts w:eastAsia="Arial"/>
        </w:rPr>
        <w:t>ti</w:t>
      </w:r>
      <w:r>
        <w:rPr/>
        <w:t>mado as quan</w:t>
      </w:r>
      <w:r>
        <w:rPr>
          <w:rFonts w:eastAsia="Arial"/>
        </w:rPr>
        <w:t>ti</w:t>
      </w:r>
      <w:r>
        <w:rPr/>
        <w:t>dades que pretende contratar será considerado participante para efeito do remanejamento.</w:t>
      </w:r>
      <w:bookmarkStart w:id="5" w:name="gerenciador_estimador_é_partic_em_remane"/>
      <w:bookmarkEnd w:id="5"/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remanejamento de órgão ou entidade par</w:t>
      </w:r>
      <w:r>
        <w:rPr>
          <w:rFonts w:eastAsia="Arial"/>
        </w:rPr>
        <w:t>ti</w:t>
      </w:r>
      <w:r>
        <w:rPr/>
        <w:t xml:space="preserve">cipante para órgão ou entidade não participante, serão observados os limites previstos no </w:t>
      </w:r>
      <w:commentRangeStart w:id="7"/>
      <w:r>
        <w:rPr/>
        <w:t>art. 32 do Decreto nº 11.462, de 2023</w:t>
      </w:r>
      <w:r>
        <w:rPr/>
      </w:r>
      <w:commentRangeEnd w:id="7"/>
      <w:r>
        <w:commentReference w:id="7"/>
      </w:r>
      <w:r>
        <w:rPr/>
        <w:t>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Competirá ao órgão ou à en</w:t>
      </w:r>
      <w:r>
        <w:rPr>
          <w:rFonts w:eastAsia="Arial"/>
        </w:rPr>
        <w:t>ti</w:t>
      </w:r>
      <w:r>
        <w:rPr/>
        <w:t>dade gerenciadora autorizar o remanejamento solicitado, com a redução do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 inicialmente informado pelo órgão ou pela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cipante, desde que haja prévia anuência do órgão ou da en</w:t>
      </w:r>
      <w:r>
        <w:rPr>
          <w:rFonts w:eastAsia="Arial"/>
        </w:rPr>
        <w:t>ti</w:t>
      </w:r>
      <w:r>
        <w:rPr/>
        <w:t>dade que sofrer redução dos quantitativos informados.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Caso o remanejamento seja feito entre órgãos ou en</w:t>
      </w:r>
      <w:r>
        <w:rPr>
          <w:rFonts w:eastAsia="Arial"/>
        </w:rPr>
        <w:t>ti</w:t>
      </w:r>
      <w:r>
        <w:rPr/>
        <w:t>dades dos Estados, do Distrito Federal ou de Municípios dis</w:t>
      </w:r>
      <w:r>
        <w:rPr>
          <w:rFonts w:eastAsia="Arial"/>
        </w:rPr>
        <w:t>ti</w:t>
      </w:r>
      <w:r>
        <w:rPr/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da compra centralizada, não havendo indicação pelo órgão ou pela en</w:t>
      </w:r>
      <w:r>
        <w:rPr>
          <w:rFonts w:eastAsia="Arial"/>
        </w:rPr>
        <w:t>ti</w:t>
      </w:r>
      <w:r>
        <w:rPr/>
        <w:t>dade gerenciadora, dos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vos dos par</w:t>
      </w:r>
      <w:r>
        <w:rPr>
          <w:rFonts w:eastAsia="Arial"/>
        </w:rPr>
        <w:t>ti</w:t>
      </w:r>
      <w:r>
        <w:rPr/>
        <w:t xml:space="preserve">cipantes da compra centralizada, nos termos do item </w:t>
      </w:r>
      <w:r>
        <w:rPr/>
        <w:fldChar w:fldCharType="begin"/>
      </w:r>
      <w:r>
        <w:rPr/>
        <w:instrText xml:space="preserve"> REF gerenciador_estimador_é_partic_em_remane \r \h </w:instrText>
      </w:r>
      <w:r>
        <w:rPr/>
        <w:fldChar w:fldCharType="separate"/>
      </w:r>
      <w:r>
        <w:rPr/>
        <w:t>25.3</w:t>
      </w:r>
      <w:r>
        <w:rPr/>
        <w:fldChar w:fldCharType="end"/>
      </w:r>
      <w:r>
        <w:rPr/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hanging="0" w:left="0"/>
        <w:rPr>
          <w:iCs/>
        </w:rPr>
      </w:pPr>
      <w:r>
        <w:rPr/>
        <w:t>CANCELAMENTO DO REGISTRO DO LICITANTE VENCEDOR E DOS PREÇOS REGISTRADOS</w:t>
      </w:r>
      <w:bookmarkStart w:id="6" w:name="cancelamento"/>
      <w:bookmarkEnd w:id="6"/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registro do fornecedor será cancelado pelo gerenciador, quando o fornecedor:</w:t>
      </w:r>
      <w:bookmarkStart w:id="7" w:name="cancelamento_do_fornecedor"/>
      <w:bookmarkEnd w:id="7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Não re</w:t>
      </w:r>
      <w:r>
        <w:rPr>
          <w:rFonts w:eastAsia="Arial"/>
        </w:rPr>
        <w:t>ti</w:t>
      </w:r>
      <w:r>
        <w:rPr/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 </w:t>
      </w:r>
      <w:r>
        <w:rPr/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 </w:t>
      </w:r>
      <w:r>
        <w:rPr/>
        <w:t xml:space="preserve">O cancelamento de registros nas hipóteses previstas no item </w:t>
      </w:r>
      <w:r>
        <w:rPr/>
        <w:fldChar w:fldCharType="begin"/>
      </w:r>
      <w:r>
        <w:rPr/>
        <w:instrText xml:space="preserve"> REF cancelamento_do_fornecedor \r \h </w:instrText>
      </w:r>
      <w:r>
        <w:rPr/>
        <w:fldChar w:fldCharType="separate"/>
      </w:r>
      <w:r>
        <w:rPr/>
        <w:t>26.1</w:t>
      </w:r>
      <w:r>
        <w:rPr/>
        <w:fldChar w:fldCharType="end"/>
      </w:r>
      <w:r>
        <w:rPr/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8" w:name="cancelamento_da_ata"/>
      <w:bookmarkEnd w:id="8"/>
      <w:r>
        <w:rPr/>
        <w:t xml:space="preserve"> 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Por razão de interesse público;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DAS PENALIDADES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descumprimento da Ata de Registro de Preços ensejará aplicação das penalidades estabelecidas</w:t>
      </w:r>
      <w:r>
        <w:rPr>
          <w:color w:val="000000"/>
        </w:rPr>
        <w:t xml:space="preserve"> </w:t>
      </w:r>
      <w:r>
        <w:rPr>
          <w:i/>
          <w:color w:val="000000"/>
        </w:rPr>
        <w:t>no edital</w:t>
      </w:r>
      <w:r>
        <w:rPr>
          <w:color w:val="000000"/>
        </w:rPr>
        <w:t>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As sanções também se aplicam aos integrantes do cadastro de reserva no registro de preços que, convocados, não honrarem o compromisso assumido </w:t>
      </w:r>
      <w:commentRangeStart w:id="8"/>
      <w:r>
        <w:rPr/>
        <w:t>injustificadamente</w:t>
      </w:r>
      <w:r>
        <w:rPr/>
      </w:r>
      <w:commentRangeEnd w:id="8"/>
      <w:r>
        <w:commentReference w:id="8"/>
      </w:r>
      <w:r>
        <w:rPr/>
        <w:t xml:space="preserve"> após terem assinado a ata. 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CONDIÇÕES GERAIS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As condições gerais de execução do objeto, tais como os prazos para entrega e recebimento, as obrigações da Administração e do fornecedor registrado, penalidades e demais condições do ajuste, encontram-se definidos no Termo de Referência, ANEXO </w:t>
      </w:r>
      <w:r>
        <w:rPr>
          <w:i/>
          <w:color w:val="000000"/>
        </w:rPr>
        <w:t>AO EDITAL</w:t>
      </w:r>
      <w:r>
        <w:rPr/>
        <w:t>.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cs="Arial"/>
          <w:i/>
          <w:i/>
          <w:iCs/>
          <w:color w:val="FF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Para firmeza e validade do pactuado, a presente Ata foi lavrada em 2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 xml:space="preserve">(duas) vias de igual teor, que, depois de lida e achada em ordem, vai assinada pelas partes </w:t>
      </w:r>
      <w:r>
        <w:rPr>
          <w:rFonts w:cs="Arial" w:ascii="Arial" w:hAnsi="Arial"/>
          <w:i/>
          <w:iCs/>
          <w:color w:val="000000"/>
          <w:sz w:val="20"/>
          <w:szCs w:val="20"/>
        </w:rPr>
        <w:t xml:space="preserve">e encaminhada cópia aos demais órgãos participantes. </w:t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Local e data</w:t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Assinaturas</w:t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Representante legal do órgão gerenciador e representante(s) legal(is) do(s) </w:t>
      </w:r>
      <w:r>
        <w:rPr>
          <w:rFonts w:cs="Arial" w:ascii="Arial" w:hAnsi="Arial"/>
          <w:color w:val="000000"/>
          <w:sz w:val="20"/>
          <w:szCs w:val="20"/>
        </w:rPr>
        <w:t>fornecedor(s) registrado(s)</w:t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9"/>
      <w:r>
        <w:rPr>
          <w:rFonts w:cs="Arial" w:ascii="Arial" w:hAnsi="Arial"/>
          <w:color w:val="000000"/>
          <w:sz w:val="20"/>
          <w:szCs w:val="20"/>
        </w:rPr>
        <w:t>Anexo</w:t>
      </w:r>
      <w:commentRangeEnd w:id="9"/>
      <w:r>
        <w:commentReference w:id="9"/>
      </w: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Cadastro Reserva</w:t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aceitaram cotar os itens com preços iguais ao adjudicatário :</w:t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695"/>
        <w:gridCol w:w="11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sectPr>
      <w:footerReference w:type="default" r:id="rId2"/>
      <w:type w:val="nextPage"/>
      <w:pgSz w:w="11906" w:h="16838"/>
      <w:pgMar w:left="1701" w:right="1134" w:gutter="0" w:header="0" w:top="1418" w:footer="708" w:bottom="1418"/>
      <w:pgNumType w:fmt="decimal"/>
      <w:formProt w:val="false"/>
      <w:textDirection w:val="lrTb"/>
      <w:docGrid w:type="default" w:linePitch="360" w:charSpace="0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color w:val="000000"/>
          <w:lang w:val="en-US" w:eastAsia="en-US" w:bidi="en-US"/>
        </w:rPr>
        <w:t>Nota Explicativa:</w:t>
      </w:r>
      <w:r>
        <w:rPr>
          <w:rFonts w:ascii="Liberation Serif" w:hAnsi="Liberation Serif" w:eastAsia="Segoe UI"/>
          <w:color w:val="000000"/>
          <w:lang w:val="en-US" w:eastAsia="en-US" w:bidi="en-US"/>
        </w:rPr>
        <w:t xml:space="preserve"> </w:t>
      </w:r>
      <w:r>
        <w:rPr>
          <w:rFonts w:ascii="Liberation Serif" w:hAnsi="Liberation Serif" w:eastAsia="Segoe UI"/>
          <w:i/>
          <w:iCs/>
          <w:color w:val="000000"/>
          <w:lang w:val="en-US" w:eastAsia="en-US" w:bidi="en-US"/>
        </w:rPr>
        <w:t>O preço registrado, com a indicação dos fornecedores, será divulgado no PNCP e disponibilizado durante a vigência da ata de registro de preços</w:t>
      </w:r>
      <w:r>
        <w:rPr>
          <w:rFonts w:ascii="Liberation Serif" w:hAnsi="Liberation Serif" w:eastAsia="Segoe UI"/>
          <w:color w:val="000000"/>
          <w:lang w:val="en-US" w:eastAsia="en-US" w:bidi="en-US"/>
        </w:rPr>
        <w:t>. (§ 4º, art. 18 do Decreto Nº11.462, de 2023.)</w:t>
      </w:r>
    </w:p>
  </w:comment>
  <w:comment w:id="1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</w:t>
      </w:r>
      <w:r>
        <w:rPr>
          <w:rFonts w:ascii="Liberation Serif" w:hAnsi="Liberation Serif" w:eastAsia="Segoe UI"/>
          <w:lang w:val="en-US" w:eastAsia="en-US" w:bidi="en-US"/>
        </w:rPr>
        <w:t>. No artigo 82, § 3º, da Lei 14.133, permite-se o registro de preços com indicação limitada a unidades de contratação,</w:t>
      </w:r>
      <w:r>
        <w:rPr>
          <w:rFonts w:ascii="Liberation Serif" w:hAnsi="Liberation Serif" w:eastAsia="Segoe UI"/>
          <w:b/>
          <w:bCs/>
          <w:lang w:val="en-US" w:eastAsia="en-US" w:bidi="en-US"/>
        </w:rPr>
        <w:t xml:space="preserve"> sem indicação do total a ser adquirido</w:t>
      </w:r>
      <w:r>
        <w:rPr>
          <w:rFonts w:ascii="Liberation Serif" w:hAnsi="Liberation Serif" w:eastAsia="Segoe UI"/>
          <w:lang w:val="en-US" w:eastAsia="en-US" w:bidi="en-US"/>
        </w:rPr>
        <w:t>, apenas nas seguintes situações: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I - quando for a primeira licitação para o objeto e o órgão ou entidade não tiver registro de demandas anteriores;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II - no caso de alimento perecível;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III - no caso em que o serviço estiver integrado ao fornecimento de bens.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Nessas situações, é obrigatória a indicação do valor máximo da despesa e é vedada a participação de outro órgão ou entidade na ata.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O artigo 4º do Decreto 11.462, de 31/3/2023, possui a mesma redação da lei.</w:t>
      </w:r>
    </w:p>
  </w:comment>
  <w:comment w:id="2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color w:val="000000"/>
          <w:lang w:val="en-US" w:eastAsia="en-US" w:bidi="en-US"/>
        </w:rPr>
        <w:t>Nota Explicativa</w:t>
      </w:r>
      <w:r>
        <w:rPr>
          <w:rFonts w:ascii="Liberation Serif" w:hAnsi="Liberation Serif" w:eastAsia="Segoe UI"/>
          <w:color w:val="000000"/>
          <w:lang w:val="en-US" w:eastAsia="en-US" w:bidi="en-US"/>
        </w:rPr>
        <w:t>: A listagem deve obedecer a ordem prevista no inciso II e § 2º do art. 18 do Decreto nº 11.462, de 2023.</w:t>
      </w:r>
    </w:p>
  </w:comment>
  <w:comment w:id="4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3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Não será permitida participação de outro órgão ou entidade quando não houver indicação dos quantitativos totais a ser contratados, na forma do art. 4º e parágrafo único do Decreto nº 11.462/2023.</w:t>
      </w:r>
    </w:p>
  </w:comment>
  <w:comment w:id="5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</w:t>
      </w:r>
      <w:r>
        <w:rPr>
          <w:rFonts w:ascii="Liberation Serif" w:hAnsi="Liberation Serif" w:eastAsia="Segoe UI"/>
          <w:lang w:val="en-US" w:eastAsia="en-US" w:bidi="en-US"/>
        </w:rPr>
        <w:t>: O artigo 84 da Lei 14.133 fixa o prazo de 1 (um) ano para a ata de registro de preços, admitindo a prorrogação por igual período.</w:t>
      </w:r>
    </w:p>
  </w:comment>
  <w:comment w:id="6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A possibilidade de remanejamento está prevista no art. 30 do Decreto nº 11.462/2023</w:t>
      </w:r>
    </w:p>
  </w:comment>
  <w:comment w:id="7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Art. 32. </w:t>
      </w:r>
      <w:r>
        <w:rPr>
          <w:rFonts w:ascii="Liberation Serif" w:hAnsi="Liberation Serif" w:eastAsia="Segoe UI"/>
          <w:color w:val="000000"/>
          <w:lang w:val="en-US" w:eastAsia="en-US" w:bidi="en-US"/>
        </w:rPr>
        <w:t> Serão observadas as seguintes regras de controle para a adesão à ata de registro de preços de que trata o art. 31:</w:t>
      </w:r>
    </w:p>
    <w:p>
      <w:pPr>
        <w:overflowPunct w:val="false"/>
        <w:rPr/>
      </w:pPr>
      <w:r>
        <w:rPr>
          <w:rFonts w:ascii="Liberation Serif" w:hAnsi="Liberation Serif" w:eastAsia="Segoe UI"/>
          <w:color w:val="000000"/>
          <w:lang w:val="en-US" w:eastAsia="en-US" w:bidi="en-US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>
      <w:pPr>
        <w:overflowPunct w:val="false"/>
        <w:rPr/>
      </w:pPr>
      <w:r>
        <w:rPr>
          <w:rFonts w:ascii="Liberation Serif" w:hAnsi="Liberation Serif" w:eastAsia="Segoe UI"/>
          <w:color w:val="000000"/>
          <w:lang w:val="en-US" w:eastAsia="en-US" w:bidi="en-US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8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 xml:space="preserve">Nota Explicativa: </w:t>
      </w:r>
      <w:r>
        <w:rPr>
          <w:rFonts w:ascii="Liberation Serif" w:hAnsi="Liberation Serif" w:eastAsia="Segoe UI"/>
          <w:lang w:val="en-US" w:eastAsia="en-US" w:bidi="en-US"/>
        </w:rPr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§ 5º A regra do § 4º não se aplicará aos licitantes remanescentes convocados na forma do inciso I do § 3º."</w:t>
      </w:r>
    </w:p>
  </w:comment>
  <w:comment w:id="9" w:author="Autor" w:date="0-00-00T00:00:00Z" w:initials="A">
    <w:p>
      <w:pPr>
        <w:overflowPunct w:val="tru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Caso haja previsão de preços diferentes conforme artigo 82, III, da Lei nº 14.133, de 2021, e artigo 15, III, da Lei nº 11.462, de 2023, deverá ser incluída tabela com os fornecedores e seus respectivos preços.</w:t>
      </w:r>
    </w:p>
    <w:p>
      <w:pPr>
        <w:overflowPunct w:val="true"/>
        <w:rPr/>
      </w:pPr>
      <w:r>
        <w:rPr>
          <w:rFonts w:ascii="Liberation Serif" w:hAnsi="Liberation Serif" w:eastAsia="Segoe UI"/>
          <w:lang w:val="en-US" w:eastAsia="en-US" w:bidi="en-US"/>
        </w:rP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w:name="Carlito">
    <w:altName w:val="Calibri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mirrorMargins/>
  <w:defaultTabStop w:val="708"/>
  <w:autoHyphenation w:val="true"/>
  <w:hyphenationZone w:val="425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-nfase1Char" w:customStyle="1">
    <w:name w:val="Grade Colorida - Ênfase 1 Char"/>
    <w:link w:val="GradeColorida-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2038c8"/>
    <w:rPr>
      <w:rFonts w:ascii="Ecofont_Spranq_eco_Sans" w:hAnsi="Ecofont_Spranq_eco_Sans" w:cs="Tahoma"/>
      <w:i/>
      <w:iCs/>
      <w:color w:themeColor="text1" w:val="000000"/>
      <w:sz w:val="24"/>
      <w:szCs w:val="24"/>
    </w:rPr>
  </w:style>
  <w:style w:type="character" w:styleId="Ttulo1Char" w:customStyle="1">
    <w:name w:val="Título 1 Char"/>
    <w:basedOn w:val="DefaultParagraphFont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themeColor="accent1" w:themeShade="bf" w:val="365F91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link w:val="BalloonText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-RedChar" w:customStyle="1">
    <w:name w:val="Nível 2 -Red Char"/>
    <w:basedOn w:val="Nivel2Char"/>
    <w:link w:val="Nvel2-Red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link w:val="Ou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-RChar" w:customStyle="1">
    <w:name w:val="Nível 3-R Char"/>
    <w:basedOn w:val="DefaultParagraphFont"/>
    <w:link w:val="Nvel3-R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-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GradeColorida-nfase11" w:customStyle="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hanging="0" w:left="72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themeColor="text1" w:val="000000"/>
    </w:rPr>
  </w:style>
  <w:style w:type="paragraph" w:styleId="Nivel1" w:customStyle="1">
    <w:name w:val="Nivel1"/>
    <w:basedOn w:val="Heading1"/>
    <w:next w:val="Normal"/>
    <w:link w:val="Nivel1Char"/>
    <w:qFormat/>
    <w:rsid w:val="006362ae"/>
    <w:pPr>
      <w:widowControl w:val="false"/>
      <w:spacing w:lineRule="auto" w:line="276" w:before="480" w:after="120"/>
      <w:ind w:hanging="360" w:left="360"/>
      <w:jc w:val="both"/>
    </w:pPr>
    <w:rPr>
      <w:rFonts w:ascii="Arial" w:hAnsi="Arial" w:cs="Arial"/>
      <w:color w:themeColor="accent1" w:themeShade="bf" w:val="auto"/>
      <w:sz w:val="20"/>
      <w:szCs w:val="20"/>
    </w:rPr>
  </w:style>
  <w:style w:type="paragraph" w:styleId="Nivel01" w:customStyle="1">
    <w:name w:val="Nivel 01"/>
    <w:basedOn w:val="Heading1"/>
    <w:next w:val="Normal"/>
    <w:link w:val="Nivel01Char"/>
    <w:qFormat/>
    <w:rsid w:val="00636001"/>
    <w:pPr>
      <w:numPr>
        <w:ilvl w:val="0"/>
        <w:numId w:val="1"/>
      </w:numPr>
      <w:tabs>
        <w:tab w:val="clear" w:pos="708"/>
        <w:tab w:val="left" w:pos="567" w:leader="none"/>
      </w:tabs>
      <w:spacing w:lineRule="auto" w:line="276" w:before="120" w:after="120"/>
      <w:ind w:hanging="0" w:left="0"/>
      <w:jc w:val="both"/>
    </w:pPr>
    <w:rPr>
      <w:rFonts w:ascii="Arial" w:hAnsi="Arial" w:cs="Arial"/>
      <w:color w:themeColor="accent1" w:themeShade="bf" w:val="auto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numPr>
        <w:ilvl w:val="1"/>
        <w:numId w:val="1"/>
      </w:numPr>
      <w:spacing w:lineRule="auto" w:line="276" w:before="120" w:after="120"/>
      <w:ind w:hanging="0" w:left="0"/>
      <w:jc w:val="both"/>
    </w:pPr>
    <w:rPr>
      <w:rFonts w:ascii="Arial" w:hAnsi="Arial" w:cs="Arial"/>
      <w:sz w:val="20"/>
      <w:szCs w:val="20"/>
    </w:rPr>
  </w:style>
  <w:style w:type="paragraph" w:styleId="Nvel2-Red" w:customStyle="1">
    <w:name w:val="Nível 2 -Red"/>
    <w:basedOn w:val="Nivel2"/>
    <w:link w:val="Nvel2-RedChar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link w:val="OuChar"/>
    <w:qFormat/>
    <w:rsid w:val="009d6ccc"/>
    <w:pPr>
      <w:spacing w:lineRule="auto" w:line="259" w:before="60" w:after="60"/>
      <w:ind w:hanging="0" w:left="0"/>
      <w:contextualSpacing w:val="false"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-R" w:customStyle="1">
    <w:name w:val="Nível 3-R"/>
    <w:basedOn w:val="Normal"/>
    <w:link w:val="Nvel3-RChar"/>
    <w:qFormat/>
    <w:rsid w:val="00b73e47"/>
    <w:pPr>
      <w:numPr>
        <w:ilvl w:val="2"/>
        <w:numId w:val="1"/>
      </w:numPr>
      <w:spacing w:lineRule="auto" w:line="276" w:before="120" w:after="120"/>
      <w:ind w:hanging="0" w:left="284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-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hanging="0" w:left="567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paragraph" w:styleId="Titulotelefone">
    <w:name w:val="Titulo_telefone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color w:val="00000A"/>
      <w:kern w:val="0"/>
      <w:sz w:val="14"/>
      <w:szCs w:val="20"/>
      <w:lang w:val="pt-BR" w:eastAsia="zh-CN" w:bidi="hi-IN"/>
    </w:rPr>
  </w:style>
  <w:style w:type="paragraph" w:styleId="TituloMec">
    <w:name w:val="Titulo_Mec"/>
    <w:qFormat/>
    <w:pPr>
      <w:widowControl/>
      <w:suppressAutoHyphens w:val="true"/>
      <w:bidi w:val="0"/>
      <w:spacing w:lineRule="auto" w:line="360" w:before="0" w:after="0"/>
      <w:jc w:val="center"/>
    </w:pPr>
    <w:rPr>
      <w:rFonts w:ascii="Arial" w:hAnsi="Arial" w:eastAsia="Times New Roman" w:cs="Arial"/>
      <w:b/>
      <w:caps/>
      <w:color w:val="00000A"/>
      <w:kern w:val="0"/>
      <w:sz w:val="22"/>
      <w:szCs w:val="20"/>
      <w:lang w:val="pt-BR" w:eastAsia="zh-CN" w:bidi="hi-IN"/>
    </w:rPr>
  </w:style>
  <w:style w:type="paragraph" w:styleId="TituloCampus">
    <w:name w:val="Titulo_Campus"/>
    <w:qFormat/>
    <w:pPr>
      <w:widowControl/>
      <w:suppressAutoHyphens w:val="true"/>
      <w:bidi w:val="0"/>
      <w:spacing w:lineRule="auto" w:line="360" w:before="0" w:after="0"/>
      <w:jc w:val="center"/>
    </w:pPr>
    <w:rPr>
      <w:rFonts w:ascii="Arial" w:hAnsi="Arial" w:eastAsia="Times New Roman" w:cs="Arial"/>
      <w:caps/>
      <w:color w:val="00000A"/>
      <w:kern w:val="0"/>
      <w:sz w:val="16"/>
      <w:szCs w:val="20"/>
      <w:lang w:val="pt-BR" w:eastAsia="zh-CN" w:bidi="hi-IN"/>
    </w:rPr>
  </w:style>
  <w:style w:type="paragraph" w:styleId="Titulocampus1">
    <w:name w:val="Titulo_campus1"/>
    <w:qFormat/>
    <w:pPr>
      <w:widowControl/>
      <w:suppressAutoHyphens w:val="true"/>
      <w:bidi w:val="0"/>
      <w:spacing w:lineRule="auto" w:line="360" w:before="0" w:after="0"/>
      <w:jc w:val="center"/>
    </w:pPr>
    <w:rPr>
      <w:rFonts w:ascii="Arial" w:hAnsi="Arial" w:eastAsia="Times New Roman" w:cs="Arial"/>
      <w:caps/>
      <w:color w:val="00000A"/>
      <w:kern w:val="0"/>
      <w:sz w:val="16"/>
      <w:szCs w:val="20"/>
      <w:lang w:val="pt-BR" w:eastAsia="zh-CN" w:bidi="hi-IN"/>
    </w:rPr>
  </w:style>
  <w:style w:type="paragraph" w:styleId="Tituloendereco">
    <w:name w:val="Titulo_endereco"/>
    <w:qFormat/>
    <w:pPr>
      <w:widowControl/>
      <w:suppressAutoHyphens w:val="true"/>
      <w:bidi w:val="0"/>
      <w:spacing w:lineRule="auto" w:line="360" w:before="0" w:after="0"/>
      <w:jc w:val="center"/>
    </w:pPr>
    <w:rPr>
      <w:rFonts w:ascii="Arial" w:hAnsi="Arial" w:eastAsia="Times New Roman" w:cs="Arial"/>
      <w:color w:val="00000A"/>
      <w:kern w:val="0"/>
      <w:sz w:val="14"/>
      <w:szCs w:val="20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comments" Target="comment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/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/>
</file>

<file path=customXml/itemProps4.xml><?xml version="1.0" encoding="utf-8"?>
<ds:datastoreItem xmlns:ds="http://schemas.openxmlformats.org/officeDocument/2006/customXml" ds:itemID="{2E413F30-1464-43D5-A034-C65A5C7E8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LibreOffice/7.6.2.1$Windows_X86_64 LibreOffice_project/56f7684011345957bbf33a7ee678afaf4d2ba333</Application>
  <AppVersion>15.0000</AppVersion>
  <Pages>8</Pages>
  <Words>2898</Words>
  <Characters>16162</Characters>
  <CharactersWithSpaces>18843</CharactersWithSpaces>
  <Paragraphs>162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cp:lastPrinted>2023-12-14T12:35:18Z</cp:lastPrinted>
  <dcterms:modified xsi:type="dcterms:W3CDTF">2023-12-22T15:13:26Z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